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0FFA4">
      <w:pPr>
        <w:snapToGrid w:val="0"/>
        <w:rPr>
          <w:rFonts w:ascii="Times New Roman" w:hAnsi="Times New Roman" w:eastAsia="宋体" w:cs="Times New Roman"/>
        </w:rPr>
      </w:pPr>
    </w:p>
    <w:p w14:paraId="1F2396E9">
      <w:pPr>
        <w:jc w:val="center"/>
        <w:rPr>
          <w:rFonts w:hint="eastAsia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t>中国机械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  <w:lang w:eastAsia="zh-CN"/>
        </w:rPr>
        <w:t>行业产教融合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教育教学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  <w:lang w:eastAsia="zh-CN"/>
        </w:rPr>
        <w:t>创新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大赛</w:t>
      </w:r>
      <w:r>
        <w:rPr>
          <w:rFonts w:hint="eastAsia" w:ascii="Times New Roman" w:hAnsi="Times New Roman" w:eastAsia="宋体" w:cs="Times New Roman"/>
          <w:b/>
          <w:bCs/>
          <w:sz w:val="36"/>
          <w:szCs w:val="36"/>
          <w:lang w:val="en-US" w:eastAsia="zh-CN"/>
        </w:rPr>
        <w:t>产教融合成效相关</w:t>
      </w:r>
      <w:r>
        <w:rPr>
          <w:rFonts w:ascii="Times New Roman" w:hAnsi="Times New Roman" w:eastAsia="宋体" w:cs="Times New Roman"/>
          <w:b/>
          <w:bCs/>
          <w:sz w:val="36"/>
          <w:szCs w:val="36"/>
        </w:rPr>
        <w:t>评价指标</w:t>
      </w:r>
    </w:p>
    <w:tbl>
      <w:tblPr>
        <w:tblStyle w:val="7"/>
        <w:tblW w:w="133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28" w:type="dxa"/>
          <w:bottom w:w="57" w:type="dxa"/>
          <w:right w:w="28" w:type="dxa"/>
        </w:tblCellMar>
      </w:tblPr>
      <w:tblGrid>
        <w:gridCol w:w="1413"/>
        <w:gridCol w:w="11952"/>
      </w:tblGrid>
      <w:tr w14:paraId="5518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321" w:hRule="atLeast"/>
          <w:jc w:val="center"/>
        </w:trPr>
        <w:tc>
          <w:tcPr>
            <w:tcW w:w="1413" w:type="dxa"/>
            <w:vMerge w:val="restart"/>
            <w:shd w:val="clear" w:color="auto" w:fill="CFCECE" w:themeFill="background2" w:themeFillShade="E5"/>
            <w:vAlign w:val="center"/>
          </w:tcPr>
          <w:p w14:paraId="0B718D66"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</w:rPr>
              <w:t>指标名称</w:t>
            </w:r>
          </w:p>
        </w:tc>
        <w:tc>
          <w:tcPr>
            <w:tcW w:w="11952" w:type="dxa"/>
            <w:vMerge w:val="restart"/>
            <w:shd w:val="clear" w:color="auto" w:fill="CFCECE" w:themeFill="background2" w:themeFillShade="E5"/>
            <w:vAlign w:val="center"/>
          </w:tcPr>
          <w:p w14:paraId="26B84248"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sz w:val="24"/>
              </w:rPr>
              <w:t>指标说明</w:t>
            </w:r>
          </w:p>
        </w:tc>
      </w:tr>
      <w:tr w14:paraId="0E12A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312" w:hRule="atLeast"/>
          <w:jc w:val="center"/>
        </w:trPr>
        <w:tc>
          <w:tcPr>
            <w:tcW w:w="1413" w:type="dxa"/>
            <w:vMerge w:val="continue"/>
            <w:shd w:val="clear" w:color="auto" w:fill="CFCECE" w:themeFill="background2" w:themeFillShade="E5"/>
          </w:tcPr>
          <w:p w14:paraId="390E5960"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</w:p>
        </w:tc>
        <w:tc>
          <w:tcPr>
            <w:tcW w:w="11952" w:type="dxa"/>
            <w:vMerge w:val="continue"/>
            <w:shd w:val="clear" w:color="auto" w:fill="CFCECE" w:themeFill="background2" w:themeFillShade="E5"/>
          </w:tcPr>
          <w:p w14:paraId="388644C5">
            <w:pPr>
              <w:snapToGrid w:val="0"/>
              <w:jc w:val="center"/>
              <w:rPr>
                <w:rFonts w:ascii="Times New Roman" w:hAnsi="Times New Roman" w:eastAsia="宋体" w:cs="Times New Roman"/>
                <w:b/>
                <w:bCs/>
                <w:sz w:val="24"/>
              </w:rPr>
            </w:pPr>
          </w:p>
        </w:tc>
      </w:tr>
      <w:tr w14:paraId="6ED3F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137" w:hRule="atLeast"/>
          <w:jc w:val="center"/>
        </w:trPr>
        <w:tc>
          <w:tcPr>
            <w:tcW w:w="1413" w:type="dxa"/>
            <w:vAlign w:val="center"/>
          </w:tcPr>
          <w:p w14:paraId="4F6B3111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sz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1</w:t>
            </w:r>
            <w:r>
              <w:rPr>
                <w:rFonts w:ascii="Times New Roman" w:hAnsi="Times New Roman" w:eastAsia="宋体" w:cs="Times New Roman"/>
                <w:sz w:val="24"/>
              </w:rPr>
              <w:t>.产教融合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成效</w:t>
            </w:r>
          </w:p>
          <w:p w14:paraId="78CEA554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课程类）</w:t>
            </w:r>
          </w:p>
          <w:p w14:paraId="2249443F">
            <w:pPr>
              <w:snapToGrid w:val="0"/>
              <w:rPr>
                <w:rFonts w:ascii="Times New Roman" w:hAnsi="Times New Roman" w:eastAsia="宋体" w:cs="Times New Roman"/>
                <w:sz w:val="24"/>
              </w:rPr>
            </w:pPr>
          </w:p>
        </w:tc>
        <w:tc>
          <w:tcPr>
            <w:tcW w:w="11952" w:type="dxa"/>
            <w:vAlign w:val="center"/>
          </w:tcPr>
          <w:p w14:paraId="766836E4">
            <w:pPr>
              <w:tabs>
                <w:tab w:val="left" w:pos="312"/>
              </w:tabs>
              <w:snapToGrid w:val="0"/>
              <w:ind w:firstLine="480" w:firstLineChars="200"/>
              <w:jc w:val="left"/>
              <w:rPr>
                <w:rFonts w:ascii="Times New Roman" w:hAnsi="Times New Roman" w:eastAsia="宋体" w:cs="Times New Roman"/>
                <w:sz w:val="24"/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以培养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机械行业</w:t>
            </w:r>
            <w:r>
              <w:rPr>
                <w:rFonts w:ascii="Times New Roman" w:hAnsi="Times New Roman" w:eastAsia="宋体" w:cs="Times New Roman"/>
                <w:sz w:val="24"/>
              </w:rPr>
              <w:t>卓越工程师为目标，与行业企业深度合作，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加快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培育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新质生产力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推动数字化网络化智能化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光机电一体化等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产业迭代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升级需求与成果融入到教学中，</w:t>
            </w:r>
            <w:r>
              <w:rPr>
                <w:rFonts w:ascii="Times New Roman" w:hAnsi="Times New Roman" w:eastAsia="宋体" w:cs="Times New Roman"/>
                <w:sz w:val="24"/>
              </w:rPr>
              <w:t>并产生显著成效。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作品</w:t>
            </w:r>
            <w:r>
              <w:rPr>
                <w:rFonts w:ascii="Times New Roman" w:hAnsi="Times New Roman" w:eastAsia="宋体" w:cs="Times New Roman"/>
                <w:sz w:val="24"/>
              </w:rPr>
              <w:t>内容、成效与佐证材料，应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反映</w:t>
            </w:r>
            <w:r>
              <w:rPr>
                <w:rFonts w:ascii="Times New Roman" w:hAnsi="Times New Roman" w:eastAsia="宋体" w:cs="Times New Roman"/>
                <w:sz w:val="24"/>
              </w:rPr>
              <w:t>建设期至实践检验期的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作品</w:t>
            </w:r>
            <w:r>
              <w:rPr>
                <w:rFonts w:ascii="Times New Roman" w:hAnsi="Times New Roman" w:eastAsia="宋体" w:cs="Times New Roman"/>
                <w:sz w:val="24"/>
              </w:rPr>
              <w:t>情况：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（限填4项，其中3.6和3.7至少填一项）</w:t>
            </w:r>
          </w:p>
          <w:p w14:paraId="750A70BC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3.1行业企业专业技术人员深度直接参与课程建设和教学；</w:t>
            </w:r>
          </w:p>
          <w:p w14:paraId="5848EE26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3.2教师在校企合作中的优异成果反哺教育教学；</w:t>
            </w:r>
          </w:p>
          <w:p w14:paraId="6B4AB387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3.3</w:t>
            </w:r>
            <w:r>
              <w:rPr>
                <w:rFonts w:ascii="Times New Roman" w:hAnsi="Times New Roman" w:cs="Times New Roman"/>
                <w:sz w:val="24"/>
              </w:rPr>
              <w:t>课程内容、教学方式等改革内容聚焦企业、行业需求</w:t>
            </w:r>
            <w:r>
              <w:rPr>
                <w:rFonts w:hint="eastAsia" w:ascii="Times New Roman" w:hAnsi="Times New Roman" w:cs="Times New Roman"/>
                <w:sz w:val="24"/>
              </w:rPr>
              <w:t>，持续将行业企业最新的标准、工艺、技术和规范融入课程内容；</w:t>
            </w:r>
          </w:p>
          <w:p w14:paraId="773698E0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3.4建设有内容丰富且直接来源于行业或企业的教学资源（如教材、工程案例库）；</w:t>
            </w:r>
          </w:p>
          <w:p w14:paraId="6226D610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3.5教学质量持续改进机制有效运行；</w:t>
            </w:r>
          </w:p>
          <w:p w14:paraId="5CEE19D8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3.6</w:t>
            </w:r>
            <w:r>
              <w:rPr>
                <w:rFonts w:ascii="Times New Roman" w:hAnsi="Times New Roman" w:cs="Times New Roman"/>
                <w:sz w:val="24"/>
              </w:rPr>
              <w:t>课程建设成效得到企业</w:t>
            </w:r>
            <w:r>
              <w:rPr>
                <w:rFonts w:hint="eastAsia" w:ascii="Times New Roman" w:hAnsi="Times New Roman" w:cs="Times New Roman"/>
                <w:sz w:val="24"/>
              </w:rPr>
              <w:t>或社会高度</w:t>
            </w:r>
            <w:r>
              <w:rPr>
                <w:rFonts w:ascii="Times New Roman" w:hAnsi="Times New Roman" w:cs="Times New Roman"/>
                <w:sz w:val="24"/>
              </w:rPr>
              <w:t>认可；</w:t>
            </w:r>
          </w:p>
          <w:p w14:paraId="6C7313DC">
            <w:pPr>
              <w:pStyle w:val="13"/>
              <w:numPr>
                <w:ilvl w:val="255"/>
                <w:numId w:val="0"/>
              </w:numPr>
              <w:ind w:firstLine="480" w:firstLineChars="200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3.7</w:t>
            </w:r>
            <w:r>
              <w:rPr>
                <w:rFonts w:ascii="Times New Roman" w:hAnsi="Times New Roman" w:cs="Times New Roman"/>
                <w:sz w:val="24"/>
              </w:rPr>
              <w:t>学生经过课程培养后，工程能力</w:t>
            </w:r>
            <w:r>
              <w:rPr>
                <w:rFonts w:hint="eastAsia" w:ascii="Times New Roman" w:hAnsi="Times New Roman" w:cs="Times New Roman"/>
                <w:sz w:val="24"/>
              </w:rPr>
              <w:t>、职业素养</w:t>
            </w:r>
            <w:r>
              <w:rPr>
                <w:rFonts w:ascii="Times New Roman" w:hAnsi="Times New Roman" w:cs="Times New Roman"/>
                <w:sz w:val="24"/>
              </w:rPr>
              <w:t>和创新能力得到</w:t>
            </w:r>
            <w:r>
              <w:rPr>
                <w:rFonts w:hint="eastAsia" w:ascii="Times New Roman" w:hAnsi="Times New Roman" w:cs="Times New Roman"/>
                <w:sz w:val="24"/>
              </w:rPr>
              <w:t>显著</w:t>
            </w:r>
            <w:r>
              <w:rPr>
                <w:rFonts w:ascii="Times New Roman" w:hAnsi="Times New Roman" w:cs="Times New Roman"/>
                <w:sz w:val="24"/>
              </w:rPr>
              <w:t>提升</w:t>
            </w:r>
            <w:r>
              <w:rPr>
                <w:rFonts w:hint="eastAsia" w:ascii="Times New Roman" w:hAnsi="Times New Roman" w:cs="Times New Roman"/>
                <w:sz w:val="24"/>
              </w:rPr>
              <w:t>；</w:t>
            </w:r>
          </w:p>
          <w:p w14:paraId="1911930A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hint="eastAsia" w:ascii="Times New Roman" w:hAnsi="Times New Roman" w:cs="Times New Roman"/>
                <w:sz w:val="24"/>
              </w:rPr>
              <w:t>3.8其他能体现产教融合深度和特色的要素。</w:t>
            </w:r>
          </w:p>
        </w:tc>
      </w:tr>
      <w:tr w14:paraId="4A223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28" w:type="dxa"/>
            <w:bottom w:w="57" w:type="dxa"/>
            <w:right w:w="28" w:type="dxa"/>
          </w:tblCellMar>
        </w:tblPrEx>
        <w:trPr>
          <w:trHeight w:val="279" w:hRule="atLeast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79D0104B">
            <w:pPr>
              <w:snapToGrid w:val="0"/>
              <w:jc w:val="center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.产教融合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成效</w:t>
            </w:r>
          </w:p>
          <w:p w14:paraId="75411E87">
            <w:pPr>
              <w:snapToGrid w:val="0"/>
              <w:jc w:val="center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（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体系类）</w:t>
            </w:r>
          </w:p>
          <w:p w14:paraId="44B76652">
            <w:pPr>
              <w:snapToGrid w:val="0"/>
              <w:jc w:val="center"/>
              <w:rPr>
                <w:rFonts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 w14:paraId="4C76BBB4">
            <w:pPr>
              <w:snapToGrid w:val="0"/>
              <w:rPr>
                <w:rFonts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952" w:type="dxa"/>
            <w:shd w:val="clear" w:color="auto" w:fill="auto"/>
            <w:vAlign w:val="center"/>
          </w:tcPr>
          <w:p w14:paraId="06A9F1DB">
            <w:pPr>
              <w:pStyle w:val="13"/>
              <w:ind w:firstLine="480"/>
              <w:rPr>
                <w:rFonts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宋体" w:cs="Times New Roman"/>
                <w:sz w:val="24"/>
              </w:rPr>
              <w:t>以培养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机械行业</w:t>
            </w:r>
            <w:r>
              <w:rPr>
                <w:rFonts w:ascii="Times New Roman" w:hAnsi="Times New Roman" w:eastAsia="宋体" w:cs="Times New Roman"/>
                <w:sz w:val="24"/>
              </w:rPr>
              <w:t>卓越工程师为目标，与行业企业深度合作，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加快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培育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新质生产力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推动数字化网络化智能化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和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光机电一体化等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产业迭代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升级需求与成果融入到教学中，</w:t>
            </w:r>
            <w:r>
              <w:rPr>
                <w:rFonts w:ascii="Times New Roman" w:hAnsi="Times New Roman" w:eastAsia="宋体" w:cs="Times New Roman"/>
                <w:sz w:val="24"/>
              </w:rPr>
              <w:t>并产生显著成效。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作品</w:t>
            </w:r>
            <w:r>
              <w:rPr>
                <w:rFonts w:ascii="Times New Roman" w:hAnsi="Times New Roman" w:eastAsia="宋体" w:cs="Times New Roman"/>
                <w:sz w:val="24"/>
              </w:rPr>
              <w:t>内容、成效与佐证材料，应</w:t>
            </w:r>
            <w:r>
              <w:rPr>
                <w:rFonts w:hint="eastAsia" w:ascii="Times New Roman" w:hAnsi="Times New Roman" w:eastAsia="宋体" w:cs="Times New Roman"/>
                <w:sz w:val="24"/>
              </w:rPr>
              <w:t>反映</w:t>
            </w:r>
            <w:r>
              <w:rPr>
                <w:rFonts w:ascii="Times New Roman" w:hAnsi="Times New Roman" w:eastAsia="宋体" w:cs="Times New Roman"/>
                <w:sz w:val="24"/>
              </w:rPr>
              <w:t>建设期至实践检验期的</w:t>
            </w:r>
            <w:r>
              <w:rPr>
                <w:rFonts w:hint="eastAsia" w:ascii="Times New Roman" w:hAnsi="Times New Roman" w:eastAsia="宋体" w:cs="Times New Roman"/>
                <w:sz w:val="24"/>
                <w:lang w:eastAsia="zh-CN"/>
              </w:rPr>
              <w:t>作品</w:t>
            </w:r>
            <w:r>
              <w:rPr>
                <w:rFonts w:ascii="Times New Roman" w:hAnsi="Times New Roman" w:eastAsia="宋体" w:cs="Times New Roman"/>
                <w:sz w:val="24"/>
              </w:rPr>
              <w:t>情况</w:t>
            </w:r>
            <w:r>
              <w:rPr>
                <w:rFonts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（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限填4项，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其中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3.6和3.7至少填一项）</w:t>
            </w:r>
          </w:p>
          <w:p w14:paraId="00A31E94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校企协同建设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优质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教育教学平台；</w:t>
            </w:r>
          </w:p>
          <w:p w14:paraId="16310DC9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3.2行业企业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深度参与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教育教学体系构建和实施，校企协同开展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课堂、实验、实习、实训、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实践、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毕业设计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、学位论文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等教育教学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活动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15C64743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3.3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产教融合的人才培养质量评价与持续改进机制有效运行；</w:t>
            </w:r>
          </w:p>
          <w:p w14:paraId="43219A63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3.4师资队伍工程能力提升机制有效运行；</w:t>
            </w:r>
          </w:p>
          <w:p w14:paraId="12EB9786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3.5学生广泛深度参与校企合作技术攻关的机制有效运行，并取得良好的研究成果；</w:t>
            </w:r>
          </w:p>
          <w:p w14:paraId="2B30ECD3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3.6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毕业生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能力与产业需求和发展适应度评价高，就业主要面向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国家重点单位；</w:t>
            </w:r>
          </w:p>
          <w:p w14:paraId="30AA156D">
            <w:pPr>
              <w:pStyle w:val="13"/>
              <w:numPr>
                <w:ilvl w:val="255"/>
                <w:numId w:val="0"/>
              </w:numPr>
              <w:snapToGrid w:val="0"/>
              <w:ind w:firstLine="480" w:firstLineChars="20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3.7依托平台/体系/机制运行，学生的工程能力、职业素养和创新能力得到显著提升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；</w:t>
            </w:r>
          </w:p>
          <w:p w14:paraId="4ABCA1EE">
            <w:pPr>
              <w:pStyle w:val="13"/>
              <w:numPr>
                <w:ilvl w:val="255"/>
                <w:numId w:val="0"/>
              </w:numPr>
              <w:snapToGrid w:val="0"/>
              <w:ind w:left="0" w:leftChars="0" w:firstLine="480" w:firstLineChars="200"/>
              <w:jc w:val="left"/>
              <w:rPr>
                <w:rFonts w:ascii="Times New Roman" w:hAnsi="Times New Roman" w:cs="Times New Roman" w:eastAsiaTheme="minorEastAsia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3.8其他能体现产教融合深度和特色的要素。</w:t>
            </w:r>
          </w:p>
        </w:tc>
      </w:tr>
    </w:tbl>
    <w:p w14:paraId="2969D3CC">
      <w:pPr>
        <w:widowControl/>
        <w:jc w:val="lef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  <w:b/>
          <w:bCs/>
          <w:sz w:val="36"/>
          <w:szCs w:val="36"/>
        </w:rPr>
        <w:br w:type="page"/>
      </w:r>
    </w:p>
    <w:sectPr>
      <w:footerReference r:id="rId5" w:type="default"/>
      <w:pgSz w:w="16838" w:h="11906" w:orient="landscape"/>
      <w:pgMar w:top="1191" w:right="1440" w:bottom="1191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2F86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BCECE8B"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BCECE8B">
                    <w:pPr>
                      <w:pStyle w:val="3"/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09C12B5"/>
    <w:rsid w:val="00077128"/>
    <w:rsid w:val="00092AA6"/>
    <w:rsid w:val="00131A6B"/>
    <w:rsid w:val="00163A9B"/>
    <w:rsid w:val="001720C0"/>
    <w:rsid w:val="00177133"/>
    <w:rsid w:val="0019261D"/>
    <w:rsid w:val="001A0A8E"/>
    <w:rsid w:val="002112EB"/>
    <w:rsid w:val="0026464B"/>
    <w:rsid w:val="002B3FEF"/>
    <w:rsid w:val="00340F9A"/>
    <w:rsid w:val="003526B6"/>
    <w:rsid w:val="003E447C"/>
    <w:rsid w:val="003E45E5"/>
    <w:rsid w:val="003E736D"/>
    <w:rsid w:val="00412521"/>
    <w:rsid w:val="004B0DA0"/>
    <w:rsid w:val="005E7BBA"/>
    <w:rsid w:val="00653591"/>
    <w:rsid w:val="0068505A"/>
    <w:rsid w:val="00694642"/>
    <w:rsid w:val="00743F92"/>
    <w:rsid w:val="007E7759"/>
    <w:rsid w:val="00821287"/>
    <w:rsid w:val="00847490"/>
    <w:rsid w:val="00847B61"/>
    <w:rsid w:val="008C0C98"/>
    <w:rsid w:val="008E041D"/>
    <w:rsid w:val="008F14CE"/>
    <w:rsid w:val="00920545"/>
    <w:rsid w:val="00A518FF"/>
    <w:rsid w:val="00AE55CD"/>
    <w:rsid w:val="00AF14C0"/>
    <w:rsid w:val="00B63AB6"/>
    <w:rsid w:val="00BC6A8B"/>
    <w:rsid w:val="00BF48F9"/>
    <w:rsid w:val="00C30C6E"/>
    <w:rsid w:val="00C30CFE"/>
    <w:rsid w:val="00C50F00"/>
    <w:rsid w:val="00C67349"/>
    <w:rsid w:val="00CC4C15"/>
    <w:rsid w:val="00DA669D"/>
    <w:rsid w:val="00E55FDD"/>
    <w:rsid w:val="00E73CAE"/>
    <w:rsid w:val="00ED574F"/>
    <w:rsid w:val="00F57195"/>
    <w:rsid w:val="00F92428"/>
    <w:rsid w:val="01ED61E7"/>
    <w:rsid w:val="034E289A"/>
    <w:rsid w:val="037B73C5"/>
    <w:rsid w:val="044F08FB"/>
    <w:rsid w:val="04BA283B"/>
    <w:rsid w:val="052633D9"/>
    <w:rsid w:val="05790131"/>
    <w:rsid w:val="05A21435"/>
    <w:rsid w:val="06AA67AD"/>
    <w:rsid w:val="06FC4B75"/>
    <w:rsid w:val="070C28DE"/>
    <w:rsid w:val="0A057314"/>
    <w:rsid w:val="0A265676"/>
    <w:rsid w:val="0CE160E4"/>
    <w:rsid w:val="0D265591"/>
    <w:rsid w:val="0ED41F50"/>
    <w:rsid w:val="0F632931"/>
    <w:rsid w:val="0F76748F"/>
    <w:rsid w:val="0F9E3392"/>
    <w:rsid w:val="126E5920"/>
    <w:rsid w:val="13A82FA1"/>
    <w:rsid w:val="13AC7923"/>
    <w:rsid w:val="141F52FA"/>
    <w:rsid w:val="14891A74"/>
    <w:rsid w:val="181B0BD3"/>
    <w:rsid w:val="186C142F"/>
    <w:rsid w:val="18950986"/>
    <w:rsid w:val="192C06DB"/>
    <w:rsid w:val="19DB5917"/>
    <w:rsid w:val="1A1B310D"/>
    <w:rsid w:val="1A6C3968"/>
    <w:rsid w:val="1B0424DF"/>
    <w:rsid w:val="1BA15ADE"/>
    <w:rsid w:val="1BAE7DAC"/>
    <w:rsid w:val="1BB61481"/>
    <w:rsid w:val="1BC82E20"/>
    <w:rsid w:val="1C1442B7"/>
    <w:rsid w:val="1C8B1654"/>
    <w:rsid w:val="1DEB7478"/>
    <w:rsid w:val="1E2C658F"/>
    <w:rsid w:val="1ECB1F8C"/>
    <w:rsid w:val="1FE54E30"/>
    <w:rsid w:val="200A3299"/>
    <w:rsid w:val="209C12B5"/>
    <w:rsid w:val="20E379AE"/>
    <w:rsid w:val="2201708C"/>
    <w:rsid w:val="222676B0"/>
    <w:rsid w:val="24B15705"/>
    <w:rsid w:val="26765899"/>
    <w:rsid w:val="268169ED"/>
    <w:rsid w:val="27AB76E3"/>
    <w:rsid w:val="289D572F"/>
    <w:rsid w:val="298403BE"/>
    <w:rsid w:val="2AF05EF0"/>
    <w:rsid w:val="2BC0578E"/>
    <w:rsid w:val="2CED72D0"/>
    <w:rsid w:val="2EC2575D"/>
    <w:rsid w:val="2F20375F"/>
    <w:rsid w:val="309F1F4A"/>
    <w:rsid w:val="36C00E6C"/>
    <w:rsid w:val="37D26862"/>
    <w:rsid w:val="39973283"/>
    <w:rsid w:val="39AA162A"/>
    <w:rsid w:val="3C5067EE"/>
    <w:rsid w:val="3DB74195"/>
    <w:rsid w:val="3DB801D7"/>
    <w:rsid w:val="3DFF22E2"/>
    <w:rsid w:val="3E964C3B"/>
    <w:rsid w:val="3EC86A19"/>
    <w:rsid w:val="3F5F499E"/>
    <w:rsid w:val="3F642D0B"/>
    <w:rsid w:val="3FF93E47"/>
    <w:rsid w:val="40F815A3"/>
    <w:rsid w:val="417A237F"/>
    <w:rsid w:val="41F27AD1"/>
    <w:rsid w:val="42C82B3D"/>
    <w:rsid w:val="43341B51"/>
    <w:rsid w:val="43A0005B"/>
    <w:rsid w:val="43ED486D"/>
    <w:rsid w:val="44593554"/>
    <w:rsid w:val="47766198"/>
    <w:rsid w:val="48B44448"/>
    <w:rsid w:val="4A5F5A11"/>
    <w:rsid w:val="4AB7169D"/>
    <w:rsid w:val="4B8D1BBA"/>
    <w:rsid w:val="4DD86643"/>
    <w:rsid w:val="4EEF1E97"/>
    <w:rsid w:val="4FCE3B52"/>
    <w:rsid w:val="503D7BA6"/>
    <w:rsid w:val="50CE244A"/>
    <w:rsid w:val="52422686"/>
    <w:rsid w:val="52DE792F"/>
    <w:rsid w:val="538B7364"/>
    <w:rsid w:val="538F5633"/>
    <w:rsid w:val="541807DE"/>
    <w:rsid w:val="5455551C"/>
    <w:rsid w:val="54F07013"/>
    <w:rsid w:val="55C927B0"/>
    <w:rsid w:val="562F5102"/>
    <w:rsid w:val="57C7657A"/>
    <w:rsid w:val="588E4CBB"/>
    <w:rsid w:val="59212F10"/>
    <w:rsid w:val="592D0843"/>
    <w:rsid w:val="59D2663D"/>
    <w:rsid w:val="5ADF7263"/>
    <w:rsid w:val="5B871DD5"/>
    <w:rsid w:val="5C076A71"/>
    <w:rsid w:val="5CF81740"/>
    <w:rsid w:val="5D004D55"/>
    <w:rsid w:val="5ECC1F13"/>
    <w:rsid w:val="5FBF7770"/>
    <w:rsid w:val="5FFC4413"/>
    <w:rsid w:val="603B6C71"/>
    <w:rsid w:val="60512DEA"/>
    <w:rsid w:val="60D07D7A"/>
    <w:rsid w:val="61A905CB"/>
    <w:rsid w:val="62A74B0A"/>
    <w:rsid w:val="634215BC"/>
    <w:rsid w:val="645832E9"/>
    <w:rsid w:val="6565666F"/>
    <w:rsid w:val="65DA6FA5"/>
    <w:rsid w:val="65F72AE9"/>
    <w:rsid w:val="66D66656"/>
    <w:rsid w:val="67CB63E8"/>
    <w:rsid w:val="68684D3C"/>
    <w:rsid w:val="69320B23"/>
    <w:rsid w:val="6A7B465B"/>
    <w:rsid w:val="6AF23E52"/>
    <w:rsid w:val="6CBA457B"/>
    <w:rsid w:val="6D162FB8"/>
    <w:rsid w:val="6E13028B"/>
    <w:rsid w:val="6F77059D"/>
    <w:rsid w:val="6FFB6495"/>
    <w:rsid w:val="70E60EF4"/>
    <w:rsid w:val="72DD6326"/>
    <w:rsid w:val="72E13808"/>
    <w:rsid w:val="73310A7E"/>
    <w:rsid w:val="77194F83"/>
    <w:rsid w:val="777606BE"/>
    <w:rsid w:val="77A64D5A"/>
    <w:rsid w:val="77D870BC"/>
    <w:rsid w:val="78F57298"/>
    <w:rsid w:val="7B1C6879"/>
    <w:rsid w:val="7C7855C3"/>
    <w:rsid w:val="7DB14637"/>
    <w:rsid w:val="7F1B3CC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Emphasis"/>
    <w:basedOn w:val="8"/>
    <w:autoRedefine/>
    <w:qFormat/>
    <w:uiPriority w:val="0"/>
    <w:rPr>
      <w:i/>
    </w:rPr>
  </w:style>
  <w:style w:type="character" w:customStyle="1" w:styleId="10">
    <w:name w:val="批注框文本 Char"/>
    <w:basedOn w:val="8"/>
    <w:link w:val="2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眉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8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win10zhijia.Com</Company>
  <Pages>2</Pages>
  <Words>787</Words>
  <Characters>829</Characters>
  <Lines>17</Lines>
  <Paragraphs>5</Paragraphs>
  <TotalTime>2</TotalTime>
  <ScaleCrop>false</ScaleCrop>
  <LinksUpToDate>false</LinksUpToDate>
  <CharactersWithSpaces>829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2024-05-21T06:33:00Z</dcterms:created>
  <dc:creator>柳莺</dc:creator>
  <cp:lastModifiedBy>洪悦</cp:lastModifiedBy>
  <cp:lastPrinted>2024-06-21T02:27:00Z</cp:lastPrinted>
  <dcterms:modified xsi:type="dcterms:W3CDTF">2024-08-25T02:53:01Z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A448979A7ECA4160A8F2DF4099FC193A_13</vt:lpwstr>
  </property>
</Properties>
</file>